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4D" w:rsidRDefault="00104A4D" w:rsidP="00104A4D">
      <w:pPr>
        <w:pStyle w:val="Titre1"/>
        <w:shd w:val="clear" w:color="auto" w:fill="CDE5EC"/>
        <w:spacing w:before="0" w:beforeAutospacing="0" w:after="0" w:afterAutospacing="0"/>
        <w:rPr>
          <w:rFonts w:ascii="Arial" w:hAnsi="Arial" w:cs="Arial"/>
          <w:color w:val="C02124"/>
          <w:sz w:val="29"/>
          <w:szCs w:val="29"/>
        </w:rPr>
      </w:pPr>
      <w:proofErr w:type="spellStart"/>
      <w:r>
        <w:rPr>
          <w:rFonts w:ascii="Arial" w:hAnsi="Arial" w:cs="Arial"/>
          <w:color w:val="C02124"/>
          <w:sz w:val="29"/>
          <w:szCs w:val="29"/>
        </w:rPr>
        <w:t>Prolactik</w:t>
      </w:r>
      <w:proofErr w:type="spellEnd"/>
      <w:r>
        <w:rPr>
          <w:rFonts w:ascii="Arial" w:hAnsi="Arial" w:cs="Arial"/>
          <w:color w:val="C02124"/>
          <w:sz w:val="29"/>
          <w:szCs w:val="29"/>
        </w:rPr>
        <w:t xml:space="preserve"> LG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</w:rPr>
        <w:br/>
        <w:t xml:space="preserve">A base de Lactobacillus </w:t>
      </w:r>
      <w:proofErr w:type="spellStart"/>
      <w:r>
        <w:rPr>
          <w:rFonts w:ascii="Arial" w:hAnsi="Arial" w:cs="Arial"/>
          <w:color w:val="3F4247"/>
        </w:rPr>
        <w:t>gasseri</w:t>
      </w:r>
      <w:proofErr w:type="spellEnd"/>
      <w:r>
        <w:rPr>
          <w:rFonts w:ascii="Arial" w:hAnsi="Arial" w:cs="Arial"/>
          <w:color w:val="3F4247"/>
        </w:rPr>
        <w:t>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u w:val="single"/>
        </w:rPr>
        <w:t>Conseils d'utilisation :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</w:rPr>
        <w:t>1 gélule par jour.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>Ingrédients :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 xml:space="preserve">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gasseri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, agent de charge : cellulose microcristalline/gel cellulosique, gélule :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hydroxypropylméthylcellulose</w:t>
      </w:r>
      <w:proofErr w:type="spellEnd"/>
      <w:r>
        <w:rPr>
          <w:rFonts w:ascii="Arial" w:hAnsi="Arial" w:cs="Arial"/>
          <w:color w:val="3F4247"/>
          <w:sz w:val="18"/>
          <w:szCs w:val="18"/>
        </w:rPr>
        <w:t>, épaississant : fécule de pomme de terre, émulsifiant : stéarate de magnésium.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noProof/>
          <w:color w:val="3F4247"/>
          <w:sz w:val="18"/>
          <w:szCs w:val="18"/>
        </w:rPr>
        <w:drawing>
          <wp:inline distT="0" distB="0" distL="0" distR="0">
            <wp:extent cx="3333750" cy="819150"/>
            <wp:effectExtent l="0" t="0" r="0" b="0"/>
            <wp:docPr id="1" name="Image 1" descr="http://www.oligosante.com/uploaded/AR-PROLACTIK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ligosante.com/uploaded/AR-PROLACTIKL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br/>
        <w:t xml:space="preserve">Souche 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gasseri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 (LMG 26661)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br/>
        <w:t>CAPSULES DR CAPS</w:t>
      </w:r>
      <w:r>
        <w:rPr>
          <w:rFonts w:ascii="Arial" w:hAnsi="Arial" w:cs="Arial"/>
          <w:color w:val="3F4247"/>
          <w:sz w:val="18"/>
          <w:szCs w:val="18"/>
          <w:vertAlign w:val="superscript"/>
        </w:rPr>
        <w:t>®</w:t>
      </w:r>
      <w:r>
        <w:rPr>
          <w:rFonts w:ascii="Arial" w:hAnsi="Arial" w:cs="Arial"/>
          <w:color w:val="3F4247"/>
          <w:sz w:val="18"/>
          <w:szCs w:val="18"/>
        </w:rPr>
        <w:br/>
        <w:t>- Capsules végétariennes</w:t>
      </w:r>
      <w:r>
        <w:rPr>
          <w:rFonts w:ascii="Arial" w:hAnsi="Arial" w:cs="Arial"/>
          <w:color w:val="3F4247"/>
          <w:sz w:val="18"/>
          <w:szCs w:val="18"/>
        </w:rPr>
        <w:br/>
        <w:t>- Gastro-résistantes </w:t>
      </w:r>
      <w:r>
        <w:rPr>
          <w:rFonts w:ascii="Arial" w:hAnsi="Arial" w:cs="Arial"/>
          <w:color w:val="3F4247"/>
          <w:sz w:val="18"/>
          <w:szCs w:val="18"/>
        </w:rPr>
        <w:br/>
        <w:t>- Stabilité optimale à long terme</w:t>
      </w:r>
      <w:r>
        <w:rPr>
          <w:rFonts w:ascii="Arial" w:hAnsi="Arial" w:cs="Arial"/>
          <w:color w:val="3F4247"/>
          <w:sz w:val="18"/>
          <w:szCs w:val="18"/>
        </w:rPr>
        <w:br/>
        <w:t>- Sans solvant ou produit chimique ajouté</w:t>
      </w:r>
    </w:p>
    <w:p w:rsidR="00E83461" w:rsidRDefault="00E83461"/>
    <w:p w:rsidR="00104A4D" w:rsidRDefault="00104A4D"/>
    <w:p w:rsidR="00104A4D" w:rsidRDefault="00104A4D"/>
    <w:p w:rsidR="00104A4D" w:rsidRDefault="00104A4D"/>
    <w:tbl>
      <w:tblPr>
        <w:tblW w:w="5655" w:type="dxa"/>
        <w:tblCellSpacing w:w="0" w:type="dxa"/>
        <w:shd w:val="clear" w:color="auto" w:fill="CDE5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</w:tblGrid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hideMark/>
          </w:tcPr>
          <w:p w:rsidR="00104A4D" w:rsidRPr="00104A4D" w:rsidRDefault="00104A4D" w:rsidP="00104A4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2124"/>
                <w:kern w:val="36"/>
                <w:sz w:val="29"/>
                <w:szCs w:val="29"/>
                <w:lang w:eastAsia="fr-BE"/>
              </w:rPr>
            </w:pPr>
            <w:proofErr w:type="spellStart"/>
            <w:r w:rsidRPr="00104A4D">
              <w:rPr>
                <w:rFonts w:ascii="Arial" w:eastAsia="Times New Roman" w:hAnsi="Arial" w:cs="Arial"/>
                <w:b/>
                <w:bCs/>
                <w:color w:val="C02124"/>
                <w:kern w:val="36"/>
                <w:sz w:val="29"/>
                <w:szCs w:val="29"/>
                <w:lang w:eastAsia="fr-BE"/>
              </w:rPr>
              <w:t>Prolactik</w:t>
            </w:r>
            <w:proofErr w:type="spellEnd"/>
            <w:r w:rsidRPr="00104A4D">
              <w:rPr>
                <w:rFonts w:ascii="Arial" w:eastAsia="Times New Roman" w:hAnsi="Arial" w:cs="Arial"/>
                <w:b/>
                <w:bCs/>
                <w:color w:val="C02124"/>
                <w:kern w:val="36"/>
                <w:sz w:val="29"/>
                <w:szCs w:val="29"/>
                <w:lang w:eastAsia="fr-BE"/>
              </w:rPr>
              <w:t xml:space="preserve"> VG</w:t>
            </w: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Arial" w:eastAsia="Times New Roman" w:hAnsi="Arial" w:cs="Arial"/>
                <w:color w:val="C02124"/>
                <w:sz w:val="29"/>
                <w:szCs w:val="29"/>
                <w:lang w:eastAsia="fr-BE"/>
              </w:rPr>
            </w:pP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Arial" w:eastAsia="Times New Roman" w:hAnsi="Arial" w:cs="Arial"/>
                <w:color w:val="3F4247"/>
                <w:sz w:val="18"/>
                <w:szCs w:val="18"/>
                <w:lang w:eastAsia="fr-BE"/>
              </w:rPr>
            </w:pPr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 xml:space="preserve">La flore vaginale se compose d’un </w:t>
            </w:r>
            <w:proofErr w:type="spellStart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sytème</w:t>
            </w:r>
            <w:proofErr w:type="spellEnd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 xml:space="preserve"> bactérien dynamique. </w:t>
            </w:r>
            <w:proofErr w:type="spellStart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Prolactik</w:t>
            </w:r>
            <w:proofErr w:type="spellEnd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 xml:space="preserve"> VG associe 6 souches de lactobacilles spécifiques et complémentaires dans une gélule gastro-résistante.</w:t>
            </w:r>
          </w:p>
        </w:tc>
      </w:tr>
    </w:tbl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 xml:space="preserve">Ingrédients : agent de charge :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maltodextrine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color w:val="3F4247"/>
          <w:sz w:val="18"/>
          <w:szCs w:val="18"/>
        </w:rPr>
        <w:t>gélule:</w:t>
      </w:r>
      <w:proofErr w:type="gramEnd"/>
      <w:r>
        <w:rPr>
          <w:rFonts w:ascii="Arial" w:hAnsi="Arial" w:cs="Arial"/>
          <w:color w:val="3F4247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hydroxypropylméthylcellulose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 et gomme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gellane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, 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reuteri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, 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crispatus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, 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rhamnosus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, 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plantarum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 (Lait), 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brevis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, Lactobacillus </w:t>
      </w:r>
      <w:proofErr w:type="spellStart"/>
      <w:r>
        <w:rPr>
          <w:rFonts w:ascii="Arial" w:hAnsi="Arial" w:cs="Arial"/>
          <w:color w:val="3F4247"/>
          <w:sz w:val="18"/>
          <w:szCs w:val="18"/>
        </w:rPr>
        <w:t>acidophilus</w:t>
      </w:r>
      <w:proofErr w:type="spellEnd"/>
      <w:r>
        <w:rPr>
          <w:rFonts w:ascii="Arial" w:hAnsi="Arial" w:cs="Arial"/>
          <w:color w:val="3F4247"/>
          <w:sz w:val="18"/>
          <w:szCs w:val="18"/>
        </w:rPr>
        <w:t>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noProof/>
          <w:color w:val="3F4247"/>
          <w:sz w:val="18"/>
          <w:szCs w:val="18"/>
        </w:rPr>
        <w:drawing>
          <wp:inline distT="0" distB="0" distL="0" distR="0">
            <wp:extent cx="3962400" cy="2105025"/>
            <wp:effectExtent l="0" t="0" r="0" b="9525"/>
            <wp:docPr id="2" name="Image 2" descr="actifs 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fs 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4D" w:rsidRDefault="00104A4D"/>
    <w:p w:rsidR="00104A4D" w:rsidRDefault="00104A4D"/>
    <w:p w:rsidR="00104A4D" w:rsidRDefault="00104A4D"/>
    <w:p w:rsidR="00104A4D" w:rsidRDefault="00104A4D"/>
    <w:tbl>
      <w:tblPr>
        <w:tblW w:w="5655" w:type="dxa"/>
        <w:tblCellSpacing w:w="0" w:type="dxa"/>
        <w:shd w:val="clear" w:color="auto" w:fill="CDE5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</w:tblGrid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hideMark/>
          </w:tcPr>
          <w:p w:rsidR="00104A4D" w:rsidRPr="00104A4D" w:rsidRDefault="00104A4D" w:rsidP="00104A4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2124"/>
                <w:kern w:val="36"/>
                <w:sz w:val="29"/>
                <w:szCs w:val="29"/>
                <w:lang w:eastAsia="fr-BE"/>
              </w:rPr>
            </w:pPr>
            <w:proofErr w:type="spellStart"/>
            <w:r w:rsidRPr="00104A4D">
              <w:rPr>
                <w:rFonts w:ascii="Arial" w:eastAsia="Times New Roman" w:hAnsi="Arial" w:cs="Arial"/>
                <w:b/>
                <w:bCs/>
                <w:color w:val="C02124"/>
                <w:kern w:val="36"/>
                <w:sz w:val="29"/>
                <w:szCs w:val="29"/>
                <w:lang w:eastAsia="fr-BE"/>
              </w:rPr>
              <w:t>Drainophytol</w:t>
            </w:r>
            <w:proofErr w:type="spellEnd"/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Arial" w:eastAsia="Times New Roman" w:hAnsi="Arial" w:cs="Arial"/>
                <w:color w:val="C02124"/>
                <w:sz w:val="29"/>
                <w:szCs w:val="29"/>
                <w:lang w:eastAsia="fr-BE"/>
              </w:rPr>
            </w:pP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Arial" w:eastAsia="Times New Roman" w:hAnsi="Arial" w:cs="Arial"/>
                <w:color w:val="3F4247"/>
                <w:sz w:val="18"/>
                <w:szCs w:val="18"/>
                <w:lang w:eastAsia="fr-BE"/>
              </w:rPr>
            </w:pPr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Formulé à base de 7 plantes traditionnellement utilisées</w:t>
            </w:r>
          </w:p>
        </w:tc>
      </w:tr>
    </w:tbl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proofErr w:type="spellStart"/>
      <w:r>
        <w:rPr>
          <w:rFonts w:ascii="Arial" w:hAnsi="Arial" w:cs="Arial"/>
          <w:color w:val="3F4247"/>
          <w:sz w:val="18"/>
          <w:szCs w:val="18"/>
        </w:rPr>
        <w:t>Drainophytol</w:t>
      </w:r>
      <w:proofErr w:type="spellEnd"/>
      <w:r>
        <w:rPr>
          <w:rFonts w:ascii="Arial" w:hAnsi="Arial" w:cs="Arial"/>
          <w:color w:val="3F4247"/>
          <w:sz w:val="18"/>
          <w:szCs w:val="18"/>
        </w:rPr>
        <w:t xml:space="preserve"> est un mélange à part égales d’extraits de </w:t>
      </w:r>
      <w:r>
        <w:rPr>
          <w:rStyle w:val="lev"/>
          <w:rFonts w:ascii="Arial" w:hAnsi="Arial" w:cs="Arial"/>
          <w:color w:val="3F4247"/>
          <w:sz w:val="18"/>
          <w:szCs w:val="18"/>
        </w:rPr>
        <w:t>Fumeterre, Anis, Fenouil, Cassis, Bouleau, Pissenlit, Artichaut</w:t>
      </w:r>
      <w:r>
        <w:rPr>
          <w:rFonts w:ascii="Arial" w:hAnsi="Arial" w:cs="Arial"/>
          <w:color w:val="3F4247"/>
          <w:sz w:val="18"/>
          <w:szCs w:val="18"/>
        </w:rPr>
        <w:t>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>Le Pissenlit favorise le fonctionnement hépatique et contribue au bon fonctionnement du canal biliaire.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>Le Cassis est traditionnellement utilisé pour aider au contrôle du poids.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>Il est conseillé lorsque l’on veut réaliser une « cure de printemps » ou bien potentialiser l’action des organes de drainage.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  <w:u w:val="single"/>
        </w:rPr>
        <w:t>Conseils d'utilisation :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>2 cuillères à café dans un verre d’eau avant les repas ou 4 cuillères à café dans un litre d’eau minérale. A consommer dans la journée.</w:t>
      </w:r>
    </w:p>
    <w:p w:rsidR="00104A4D" w:rsidRDefault="00104A4D" w:rsidP="00104A4D">
      <w:pPr>
        <w:pStyle w:val="NormalWeb"/>
        <w:shd w:val="clear" w:color="auto" w:fill="CDE5EC"/>
        <w:spacing w:before="0" w:beforeAutospacing="0" w:after="0" w:afterAutospacing="0"/>
        <w:rPr>
          <w:rFonts w:ascii="Arial" w:hAnsi="Arial" w:cs="Arial"/>
          <w:color w:val="3F4247"/>
          <w:sz w:val="18"/>
          <w:szCs w:val="18"/>
        </w:rPr>
      </w:pPr>
      <w:r>
        <w:rPr>
          <w:rFonts w:ascii="Arial" w:hAnsi="Arial" w:cs="Arial"/>
          <w:color w:val="3F4247"/>
          <w:sz w:val="18"/>
          <w:szCs w:val="18"/>
        </w:rPr>
        <w:t>Déconseillé chez les personnes souffrant d’allergie aux dérivés salicylés.</w:t>
      </w:r>
    </w:p>
    <w:p w:rsidR="00104A4D" w:rsidRDefault="00104A4D">
      <w:r>
        <w:br/>
      </w:r>
      <w:r>
        <w:rPr>
          <w:noProof/>
          <w:lang w:eastAsia="fr-BE"/>
        </w:rPr>
        <w:drawing>
          <wp:inline distT="0" distB="0" distL="0" distR="0">
            <wp:extent cx="3333750" cy="1590675"/>
            <wp:effectExtent l="0" t="0" r="0" b="9525"/>
            <wp:docPr id="3" name="Image 3" descr="http://www.oligosante.com/uploaded/VNR-DRAINOPHYT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ligosante.com/uploaded/VNR-DRAINOPHYTO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4D" w:rsidRDefault="00104A4D"/>
    <w:p w:rsidR="00104A4D" w:rsidRDefault="00104A4D"/>
    <w:tbl>
      <w:tblPr>
        <w:tblW w:w="5655" w:type="dxa"/>
        <w:tblCellSpacing w:w="0" w:type="dxa"/>
        <w:shd w:val="clear" w:color="auto" w:fill="CDE5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</w:tblGrid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hideMark/>
          </w:tcPr>
          <w:p w:rsidR="00104A4D" w:rsidRPr="00104A4D" w:rsidRDefault="00104A4D" w:rsidP="00104A4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C02124"/>
                <w:kern w:val="36"/>
                <w:sz w:val="29"/>
                <w:szCs w:val="29"/>
                <w:lang w:eastAsia="fr-BE"/>
              </w:rPr>
            </w:pPr>
            <w:proofErr w:type="spellStart"/>
            <w:r w:rsidRPr="00104A4D">
              <w:rPr>
                <w:rFonts w:ascii="Arial" w:eastAsia="Times New Roman" w:hAnsi="Arial" w:cs="Arial"/>
                <w:b/>
                <w:bCs/>
                <w:color w:val="C02124"/>
                <w:kern w:val="36"/>
                <w:sz w:val="29"/>
                <w:szCs w:val="29"/>
                <w:lang w:eastAsia="fr-BE"/>
              </w:rPr>
              <w:t>Glyprotect</w:t>
            </w:r>
            <w:proofErr w:type="spellEnd"/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Arial" w:eastAsia="Times New Roman" w:hAnsi="Arial" w:cs="Arial"/>
                <w:color w:val="C02124"/>
                <w:sz w:val="29"/>
                <w:szCs w:val="29"/>
                <w:lang w:eastAsia="fr-BE"/>
              </w:rPr>
            </w:pP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Arial" w:eastAsia="Times New Roman" w:hAnsi="Arial" w:cs="Arial"/>
                <w:color w:val="3F4247"/>
                <w:sz w:val="18"/>
                <w:szCs w:val="18"/>
                <w:lang w:eastAsia="fr-BE"/>
              </w:rPr>
            </w:pPr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 xml:space="preserve">Complément alimentaire à base de Cannelle, </w:t>
            </w:r>
            <w:proofErr w:type="spellStart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Gymnema</w:t>
            </w:r>
            <w:proofErr w:type="spellEnd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 xml:space="preserve"> </w:t>
            </w:r>
            <w:proofErr w:type="spellStart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sylvestris</w:t>
            </w:r>
            <w:proofErr w:type="spellEnd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, Fenugrec, Banaba, L-</w:t>
            </w:r>
            <w:proofErr w:type="spellStart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carnosine</w:t>
            </w:r>
            <w:proofErr w:type="spellEnd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 xml:space="preserve">, acide alpha </w:t>
            </w:r>
            <w:proofErr w:type="spellStart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>lipoïque</w:t>
            </w:r>
            <w:proofErr w:type="spellEnd"/>
            <w:r w:rsidRPr="00104A4D">
              <w:rPr>
                <w:rFonts w:ascii="Arial" w:eastAsia="Times New Roman" w:hAnsi="Arial" w:cs="Arial"/>
                <w:color w:val="3F4247"/>
                <w:sz w:val="24"/>
                <w:szCs w:val="24"/>
                <w:lang w:eastAsia="fr-BE"/>
              </w:rPr>
              <w:t xml:space="preserve"> et de chrome qui contribue au maintien d’une glycémie normale.</w:t>
            </w: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Arial" w:eastAsia="Times New Roman" w:hAnsi="Arial" w:cs="Arial"/>
                <w:color w:val="3F4247"/>
                <w:sz w:val="18"/>
                <w:szCs w:val="18"/>
                <w:lang w:eastAsia="fr-BE"/>
              </w:rPr>
            </w:pPr>
          </w:p>
        </w:tc>
      </w:tr>
      <w:tr w:rsidR="00104A4D" w:rsidRP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Pr="00104A4D" w:rsidRDefault="00104A4D" w:rsidP="00104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BE"/>
              </w:rPr>
            </w:pPr>
            <w:hyperlink r:id="rId8" w:history="1">
              <w:r w:rsidRPr="00104A4D">
                <w:rPr>
                  <w:rFonts w:ascii="Arial" w:eastAsia="Times New Roman" w:hAnsi="Arial" w:cs="Arial"/>
                  <w:noProof/>
                  <w:color w:val="0000FF"/>
                  <w:sz w:val="18"/>
                  <w:szCs w:val="18"/>
                  <w:lang w:eastAsia="fr-BE"/>
                </w:rPr>
                <w:drawing>
                  <wp:inline distT="0" distB="0" distL="0" distR="0">
                    <wp:extent cx="142875" cy="161925"/>
                    <wp:effectExtent l="0" t="0" r="9525" b="9525"/>
                    <wp:docPr id="4" name="Image 4" descr="http://www.oligosante.com/wdbox/PagesCli/oligosante/Images/avisdesconso.jpg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://www.oligosante.com/wdbox/PagesCli/oligosante/Images/avisdesconso.jpg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6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104A4D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fr-BE"/>
                </w:rPr>
                <w:t>Avis des consommateurs sur ce produit</w:t>
              </w:r>
            </w:hyperlink>
          </w:p>
        </w:tc>
      </w:tr>
    </w:tbl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proofErr w:type="spellStart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Glyprotect</w:t>
      </w:r>
      <w:proofErr w:type="spellEnd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 xml:space="preserve"> contient des extraits de plantes (Cannelle, Banaba, Fenugrec et </w:t>
      </w:r>
      <w:proofErr w:type="spellStart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Gymnema</w:t>
      </w:r>
      <w:proofErr w:type="spellEnd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 xml:space="preserve"> sylvestre), de la L-</w:t>
      </w:r>
      <w:proofErr w:type="spellStart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carnosine</w:t>
      </w:r>
      <w:proofErr w:type="spellEnd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 xml:space="preserve">, de l’acide alpha </w:t>
      </w:r>
      <w:proofErr w:type="spellStart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lipoïque</w:t>
      </w:r>
      <w:proofErr w:type="spellEnd"/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 xml:space="preserve"> et du chrome ayant une action synergique.</w:t>
      </w:r>
    </w:p>
    <w:p w:rsidR="00104A4D" w:rsidRPr="00104A4D" w:rsidRDefault="00104A4D" w:rsidP="00104A4D">
      <w:pPr>
        <w:numPr>
          <w:ilvl w:val="0"/>
          <w:numId w:val="1"/>
        </w:num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Le Banaba et le Fenugrec aident à maintenir un taux normal de glucose dans le sang.</w:t>
      </w:r>
    </w:p>
    <w:p w:rsidR="00104A4D" w:rsidRPr="00104A4D" w:rsidRDefault="00104A4D" w:rsidP="00104A4D">
      <w:pPr>
        <w:numPr>
          <w:ilvl w:val="0"/>
          <w:numId w:val="1"/>
        </w:num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Le chrome contribue au maintien d’une glycémie normale.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24"/>
          <w:szCs w:val="24"/>
          <w:u w:val="single"/>
          <w:lang w:eastAsia="fr-BE"/>
        </w:rPr>
        <w:t>Conseils d'utilisation :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1 à 2 comprimés par jour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24"/>
          <w:szCs w:val="24"/>
          <w:lang w:eastAsia="fr-BE"/>
        </w:rPr>
        <w:t>Déconseillé chez la femme enceinte.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Ingrédients :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proofErr w:type="gram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extrait</w:t>
      </w:r>
      <w:proofErr w:type="gram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sec d’écorce de Cannelle (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Cinnamomum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zeylanicum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), agent de charge : cellulose microcristalline/gel cellulosique, acidifiant : phosphate de calcium, extrait sec de feuilles de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Gymnema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sylvestris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(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Gymnema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sylvestris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), extrait sec de graines de Fenugrec (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Trigonella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foenum-graecum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), extrait sec de feuilles de Banaba </w:t>
      </w: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lastRenderedPageBreak/>
        <w:t>(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Lagerstroemia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speciosa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), L-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carnosine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, acide alpha-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lipoïque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, émulsifiant : sels de magnésium d’acides gras, antiagglomérant : talc,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picolinate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de chrome.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noProof/>
          <w:color w:val="3F4247"/>
          <w:sz w:val="18"/>
          <w:szCs w:val="18"/>
          <w:lang w:eastAsia="fr-BE"/>
        </w:rPr>
        <w:drawing>
          <wp:inline distT="0" distB="0" distL="0" distR="0">
            <wp:extent cx="3638550" cy="2419350"/>
            <wp:effectExtent l="0" t="0" r="0" b="0"/>
            <wp:docPr id="5" name="Image 5" descr="http://www.oligosante.com/uploaded/AR-glyprot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oligosante.com/uploaded/AR-glyprotec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4D" w:rsidRDefault="00104A4D"/>
    <w:p w:rsidR="00104A4D" w:rsidRDefault="00104A4D"/>
    <w:p w:rsidR="00104A4D" w:rsidRDefault="00104A4D"/>
    <w:tbl>
      <w:tblPr>
        <w:tblW w:w="5655" w:type="dxa"/>
        <w:tblCellSpacing w:w="0" w:type="dxa"/>
        <w:shd w:val="clear" w:color="auto" w:fill="CDE5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</w:tblGrid>
      <w:tr w:rsidR="00104A4D" w:rsidTr="00104A4D">
        <w:trPr>
          <w:tblCellSpacing w:w="0" w:type="dxa"/>
        </w:trPr>
        <w:tc>
          <w:tcPr>
            <w:tcW w:w="0" w:type="auto"/>
            <w:shd w:val="clear" w:color="auto" w:fill="CDE5EC"/>
            <w:hideMark/>
          </w:tcPr>
          <w:p w:rsidR="00104A4D" w:rsidRDefault="00104A4D">
            <w:pPr>
              <w:pStyle w:val="Titre1"/>
              <w:spacing w:before="0" w:beforeAutospacing="0" w:after="0" w:afterAutospacing="0"/>
              <w:rPr>
                <w:rFonts w:ascii="Arial" w:hAnsi="Arial" w:cs="Arial"/>
                <w:color w:val="C02124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color w:val="C02124"/>
                <w:sz w:val="29"/>
                <w:szCs w:val="29"/>
              </w:rPr>
              <w:t>Gynovital</w:t>
            </w:r>
            <w:proofErr w:type="spellEnd"/>
            <w:r>
              <w:rPr>
                <w:rFonts w:ascii="Arial" w:hAnsi="Arial" w:cs="Arial"/>
                <w:color w:val="C02124"/>
                <w:sz w:val="29"/>
                <w:szCs w:val="29"/>
              </w:rPr>
              <w:t xml:space="preserve"> Gattilier</w:t>
            </w:r>
          </w:p>
        </w:tc>
      </w:tr>
      <w:tr w:rsid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Default="00104A4D">
            <w:pPr>
              <w:rPr>
                <w:rFonts w:ascii="Arial" w:hAnsi="Arial" w:cs="Arial"/>
                <w:color w:val="C02124"/>
                <w:sz w:val="29"/>
                <w:szCs w:val="29"/>
              </w:rPr>
            </w:pPr>
          </w:p>
        </w:tc>
      </w:tr>
      <w:tr w:rsid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Default="00104A4D">
            <w:pPr>
              <w:rPr>
                <w:sz w:val="20"/>
                <w:szCs w:val="20"/>
              </w:rPr>
            </w:pPr>
          </w:p>
        </w:tc>
      </w:tr>
      <w:tr w:rsid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Default="00104A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F4247"/>
                <w:sz w:val="18"/>
                <w:szCs w:val="18"/>
              </w:rPr>
            </w:pPr>
            <w:r>
              <w:rPr>
                <w:rFonts w:ascii="Arial" w:hAnsi="Arial" w:cs="Arial"/>
                <w:color w:val="3F4247"/>
              </w:rPr>
              <w:t>Le Gattilier est une plante qui aide à améliorer le confort avant et pendant le cycle menstruel.</w:t>
            </w:r>
          </w:p>
        </w:tc>
      </w:tr>
      <w:tr w:rsid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Default="00104A4D">
            <w:pPr>
              <w:rPr>
                <w:rFonts w:ascii="Arial" w:hAnsi="Arial" w:cs="Arial"/>
                <w:color w:val="3F4247"/>
                <w:sz w:val="18"/>
                <w:szCs w:val="18"/>
              </w:rPr>
            </w:pPr>
          </w:p>
        </w:tc>
      </w:tr>
      <w:tr w:rsidR="00104A4D" w:rsidTr="00104A4D">
        <w:trPr>
          <w:tblCellSpacing w:w="0" w:type="dxa"/>
        </w:trPr>
        <w:tc>
          <w:tcPr>
            <w:tcW w:w="0" w:type="auto"/>
            <w:shd w:val="clear" w:color="auto" w:fill="CDE5EC"/>
            <w:vAlign w:val="center"/>
            <w:hideMark/>
          </w:tcPr>
          <w:p w:rsidR="00104A4D" w:rsidRDefault="00104A4D">
            <w:pPr>
              <w:rPr>
                <w:color w:val="000000"/>
                <w:sz w:val="27"/>
                <w:szCs w:val="27"/>
              </w:rPr>
            </w:pPr>
            <w:hyperlink r:id="rId11" w:history="1">
              <w:r>
                <w:rPr>
                  <w:rFonts w:ascii="Arial" w:hAnsi="Arial" w:cs="Arial"/>
                  <w:noProof/>
                  <w:color w:val="0000FF"/>
                  <w:sz w:val="18"/>
                  <w:szCs w:val="18"/>
                  <w:lang w:eastAsia="fr-BE"/>
                </w:rPr>
                <w:drawing>
                  <wp:inline distT="0" distB="0" distL="0" distR="0">
                    <wp:extent cx="142875" cy="161925"/>
                    <wp:effectExtent l="0" t="0" r="9525" b="9525"/>
                    <wp:docPr id="6" name="Image 6" descr="http://www.oligosante.com/wdbox/PagesCli/oligosante/Images/avisdesconso.jpg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://www.oligosante.com/wdbox/PagesCli/oligosante/Images/avisdesconso.jpg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61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Lienhypertexte"/>
                  <w:rFonts w:ascii="Arial" w:hAnsi="Arial" w:cs="Arial"/>
                  <w:sz w:val="18"/>
                  <w:szCs w:val="18"/>
                </w:rPr>
                <w:t>Avis des consommateurs sur ce produit</w:t>
              </w:r>
            </w:hyperlink>
          </w:p>
        </w:tc>
      </w:tr>
    </w:tbl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Le Gattilier est une plante qui aide à améliorer le confort avant et pendant le cycle menstruel.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u w:val="single"/>
          <w:lang w:eastAsia="fr-BE"/>
        </w:rPr>
        <w:t>Conseils d'utilisation :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1 à 2 gélules par jour.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Déconseillé chez les femmes ayant des antécédents personnels ou familiaux de cancer du sein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Ingrédients :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proofErr w:type="gram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poudre</w:t>
      </w:r>
      <w:proofErr w:type="gram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de fruits de Gattilier (Vitex agnus-castus), gélule :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hydroxypropylméthylcellulose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, extrait sec de fruits de Gattilier (Vitex agnus-castus).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noProof/>
          <w:color w:val="3F4247"/>
          <w:sz w:val="18"/>
          <w:szCs w:val="18"/>
          <w:lang w:eastAsia="fr-BE"/>
        </w:rPr>
        <w:drawing>
          <wp:inline distT="0" distB="0" distL="0" distR="0">
            <wp:extent cx="3981450" cy="1076325"/>
            <wp:effectExtent l="0" t="0" r="0" b="9525"/>
            <wp:docPr id="7" name="Image 7" descr="http://www.oligosante.com/uploaded/AR-GYNOVITALGATTILI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oligosante.com/uploaded/AR-GYNOVITALGATTILIER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4D" w:rsidRDefault="00104A4D"/>
    <w:p w:rsidR="00104A4D" w:rsidRDefault="00104A4D"/>
    <w:p w:rsidR="00104A4D" w:rsidRDefault="00104A4D"/>
    <w:p w:rsidR="00104A4D" w:rsidRDefault="00104A4D"/>
    <w:p w:rsidR="00104A4D" w:rsidRDefault="00104A4D"/>
    <w:p w:rsidR="00104A4D" w:rsidRDefault="00104A4D"/>
    <w:p w:rsidR="00104A4D" w:rsidRDefault="00104A4D"/>
    <w:tbl>
      <w:tblPr>
        <w:tblW w:w="4950" w:type="pct"/>
        <w:tblCellSpacing w:w="15" w:type="dxa"/>
        <w:shd w:val="clear" w:color="auto" w:fill="CDE5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1"/>
      </w:tblGrid>
      <w:tr w:rsidR="00104A4D" w:rsidTr="00104A4D">
        <w:trPr>
          <w:tblCellSpacing w:w="15" w:type="dxa"/>
        </w:trPr>
        <w:tc>
          <w:tcPr>
            <w:tcW w:w="8921" w:type="dxa"/>
            <w:shd w:val="clear" w:color="auto" w:fill="CDE5EC"/>
            <w:hideMark/>
          </w:tcPr>
          <w:p w:rsidR="00104A4D" w:rsidRDefault="00104A4D" w:rsidP="00104A4D">
            <w:pPr>
              <w:rPr>
                <w:color w:val="000000"/>
                <w:sz w:val="27"/>
                <w:szCs w:val="27"/>
              </w:rPr>
            </w:pPr>
          </w:p>
          <w:tbl>
            <w:tblPr>
              <w:tblW w:w="56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5"/>
            </w:tblGrid>
            <w:tr w:rsidR="00104A4D" w:rsidTr="00104A4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04A4D" w:rsidRDefault="00104A4D">
                  <w:pPr>
                    <w:pStyle w:val="Titre1"/>
                    <w:spacing w:before="0" w:beforeAutospacing="0" w:after="0" w:afterAutospacing="0"/>
                    <w:rPr>
                      <w:rFonts w:ascii="Arial" w:hAnsi="Arial" w:cs="Arial"/>
                      <w:color w:val="C02124"/>
                      <w:sz w:val="29"/>
                      <w:szCs w:val="29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C02124"/>
                      <w:sz w:val="29"/>
                      <w:szCs w:val="29"/>
                    </w:rPr>
                    <w:t>Oligoperméa</w:t>
                  </w:r>
                  <w:proofErr w:type="spellEnd"/>
                </w:p>
              </w:tc>
            </w:tr>
            <w:tr w:rsidR="00104A4D" w:rsidTr="00104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A4D" w:rsidRDefault="00104A4D">
                  <w:pPr>
                    <w:rPr>
                      <w:rFonts w:ascii="Arial" w:hAnsi="Arial" w:cs="Arial"/>
                      <w:color w:val="C02124"/>
                      <w:sz w:val="29"/>
                      <w:szCs w:val="29"/>
                    </w:rPr>
                  </w:pPr>
                </w:p>
              </w:tc>
            </w:tr>
            <w:tr w:rsidR="00104A4D" w:rsidTr="00104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A4D" w:rsidRDefault="00104A4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04A4D" w:rsidTr="00104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A4D" w:rsidRDefault="00104A4D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3F4247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F4247"/>
                    </w:rPr>
                    <w:t xml:space="preserve">Formule exclusive à base de glutamine, glucosamine, </w:t>
                  </w:r>
                  <w:proofErr w:type="spellStart"/>
                  <w:r>
                    <w:rPr>
                      <w:rFonts w:ascii="Arial" w:hAnsi="Arial" w:cs="Arial"/>
                      <w:color w:val="3F4247"/>
                    </w:rPr>
                    <w:t>quercétine</w:t>
                  </w:r>
                  <w:proofErr w:type="spellEnd"/>
                  <w:r>
                    <w:rPr>
                      <w:rFonts w:ascii="Arial" w:hAnsi="Arial" w:cs="Arial"/>
                      <w:color w:val="3F4247"/>
                    </w:rPr>
                    <w:t xml:space="preserve">, gamma </w:t>
                  </w:r>
                  <w:proofErr w:type="spellStart"/>
                  <w:r>
                    <w:rPr>
                      <w:rFonts w:ascii="Arial" w:hAnsi="Arial" w:cs="Arial"/>
                      <w:color w:val="3F4247"/>
                    </w:rPr>
                    <w:t>oryzanol</w:t>
                  </w:r>
                  <w:proofErr w:type="spellEnd"/>
                  <w:r>
                    <w:rPr>
                      <w:rFonts w:ascii="Arial" w:hAnsi="Arial" w:cs="Arial"/>
                      <w:color w:val="3F4247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3F4247"/>
                    </w:rPr>
                    <w:t>aloe</w:t>
                  </w:r>
                  <w:proofErr w:type="spellEnd"/>
                  <w:r>
                    <w:rPr>
                      <w:rFonts w:ascii="Arial" w:hAnsi="Arial" w:cs="Arial"/>
                      <w:color w:val="3F424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F4247"/>
                    </w:rPr>
                    <w:t>vera</w:t>
                  </w:r>
                  <w:proofErr w:type="spellEnd"/>
                  <w:r>
                    <w:rPr>
                      <w:rFonts w:ascii="Arial" w:hAnsi="Arial" w:cs="Arial"/>
                      <w:color w:val="3F4247"/>
                    </w:rPr>
                    <w:t>, réglisse, guimauve, vitamines et minéraux. </w:t>
                  </w:r>
                </w:p>
              </w:tc>
            </w:tr>
            <w:tr w:rsidR="00104A4D" w:rsidTr="00104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A4D" w:rsidRDefault="00104A4D">
                  <w:pPr>
                    <w:rPr>
                      <w:rFonts w:ascii="Arial" w:hAnsi="Arial" w:cs="Arial"/>
                      <w:color w:val="3F4247"/>
                      <w:sz w:val="18"/>
                      <w:szCs w:val="18"/>
                    </w:rPr>
                  </w:pPr>
                </w:p>
              </w:tc>
            </w:tr>
            <w:tr w:rsidR="00104A4D" w:rsidTr="00104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A4D" w:rsidRDefault="00104A4D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>
                      <w:rPr>
                        <w:rFonts w:ascii="Arial" w:hAnsi="Arial" w:cs="Arial"/>
                        <w:noProof/>
                        <w:color w:val="0000FF"/>
                        <w:sz w:val="18"/>
                        <w:szCs w:val="18"/>
                        <w:lang w:eastAsia="fr-BE"/>
                      </w:rPr>
                      <w:drawing>
                        <wp:inline distT="0" distB="0" distL="0" distR="0">
                          <wp:extent cx="142875" cy="161925"/>
                          <wp:effectExtent l="0" t="0" r="9525" b="9525"/>
                          <wp:docPr id="8" name="Image 8" descr="http://www.oligosante.com/wdbox/PagesCli/oligosante/Images/avisdesconso.jpg">
                            <a:hlinkClick xmlns:a="http://schemas.openxmlformats.org/drawingml/2006/main" r:id="rId1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http://www.oligosante.com/wdbox/PagesCli/oligosante/Images/avisdesconso.jpg">
                                    <a:hlinkClick r:id="rId1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87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Style w:val="Lienhypertexte"/>
                        <w:rFonts w:ascii="Arial" w:hAnsi="Arial" w:cs="Arial"/>
                        <w:sz w:val="18"/>
                        <w:szCs w:val="18"/>
                      </w:rPr>
                      <w:t>Avis des consommateurs sur ce produit</w:t>
                    </w:r>
                  </w:hyperlink>
                </w:p>
              </w:tc>
            </w:tr>
            <w:tr w:rsidR="00104A4D" w:rsidTr="00104A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4A4D" w:rsidRDefault="00104A4D">
                  <w:r>
                    <w:t> </w:t>
                  </w:r>
                </w:p>
              </w:tc>
            </w:tr>
          </w:tbl>
          <w:p w:rsidR="00104A4D" w:rsidRDefault="00104A4D">
            <w:pPr>
              <w:rPr>
                <w:color w:val="000000"/>
                <w:sz w:val="27"/>
                <w:szCs w:val="27"/>
              </w:rPr>
            </w:pPr>
          </w:p>
        </w:tc>
      </w:tr>
    </w:tbl>
    <w:p w:rsidR="00104A4D" w:rsidRDefault="00104A4D">
      <w:pPr>
        <w:rPr>
          <w:rFonts w:ascii="Arial" w:hAnsi="Arial" w:cs="Arial"/>
          <w:color w:val="3F4247"/>
          <w:shd w:val="clear" w:color="auto" w:fill="CDE5EC"/>
        </w:rPr>
      </w:pPr>
      <w:r>
        <w:rPr>
          <w:rFonts w:ascii="Arial" w:hAnsi="Arial" w:cs="Arial"/>
          <w:color w:val="3F4247"/>
          <w:shd w:val="clear" w:color="auto" w:fill="CDE5EC"/>
        </w:rPr>
        <w:t>La vitamine B12 contribue au fonctionnement normal du système immunitaire.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Ingrédients :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L-glutamine, arôme naturel : orange, acidifiant  : acide citrique, N-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acétyl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glucosamine, pectine de pomme, antiagglomérant  : silice, gluconate de zinc, extrait sec de feuilles d’Aloès (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Aloe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vera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), poudre de gamma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oryzanol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, poudre de racines de Guimauve (Althaea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officinalis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), extrait sec de racines de Réglisse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déglycyrrhinisé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(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Glycyrrhiza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glabra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), poudre </w:t>
      </w:r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br/>
        <w:t xml:space="preserve">de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quercétine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, édulcorant  :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acésulfame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de potassium, chlorhydrate de thiamine (vitamine B1),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cyanocobalamine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(vitamine B12), acide </w:t>
      </w:r>
      <w:proofErr w:type="spellStart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>ptéroylmonoglutamique</w:t>
      </w:r>
      <w:proofErr w:type="spellEnd"/>
      <w:r w:rsidRPr="00104A4D">
        <w:rPr>
          <w:rFonts w:ascii="Arial" w:eastAsia="Times New Roman" w:hAnsi="Arial" w:cs="Arial"/>
          <w:color w:val="3F4247"/>
          <w:sz w:val="18"/>
          <w:szCs w:val="18"/>
          <w:lang w:eastAsia="fr-BE"/>
        </w:rPr>
        <w:t xml:space="preserve"> (vitamine B9).</w:t>
      </w:r>
    </w:p>
    <w:p w:rsidR="00104A4D" w:rsidRPr="00104A4D" w:rsidRDefault="00104A4D" w:rsidP="00104A4D">
      <w:pPr>
        <w:shd w:val="clear" w:color="auto" w:fill="CDE5EC"/>
        <w:spacing w:after="0" w:line="240" w:lineRule="auto"/>
        <w:rPr>
          <w:rFonts w:ascii="Arial" w:eastAsia="Times New Roman" w:hAnsi="Arial" w:cs="Arial"/>
          <w:color w:val="3F4247"/>
          <w:sz w:val="18"/>
          <w:szCs w:val="18"/>
          <w:lang w:eastAsia="fr-BE"/>
        </w:rPr>
      </w:pPr>
      <w:r w:rsidRPr="00104A4D">
        <w:rPr>
          <w:rFonts w:ascii="Arial" w:eastAsia="Times New Roman" w:hAnsi="Arial" w:cs="Arial"/>
          <w:noProof/>
          <w:color w:val="3F4247"/>
          <w:sz w:val="18"/>
          <w:szCs w:val="18"/>
          <w:lang w:eastAsia="fr-BE"/>
        </w:rPr>
        <w:drawing>
          <wp:inline distT="0" distB="0" distL="0" distR="0">
            <wp:extent cx="3333750" cy="2428875"/>
            <wp:effectExtent l="0" t="0" r="0" b="9525"/>
            <wp:docPr id="9" name="Image 9" descr="http://www.oligosante.com/uploaded/AR-OLIGOPERME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oligosante.com/uploaded/AR-OLIGOPERMEA_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4D" w:rsidRDefault="00104A4D">
      <w:bookmarkStart w:id="0" w:name="_GoBack"/>
      <w:bookmarkEnd w:id="0"/>
    </w:p>
    <w:sectPr w:rsidR="0010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38AF"/>
    <w:multiLevelType w:val="multilevel"/>
    <w:tmpl w:val="C0B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4D"/>
    <w:rsid w:val="00104A4D"/>
    <w:rsid w:val="00E8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D6B6"/>
  <w15:chartTrackingRefBased/>
  <w15:docId w15:val="{8D9989E0-BB05-49AD-AE2B-2B218A64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04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104A4D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ev">
    <w:name w:val="Strong"/>
    <w:basedOn w:val="Policepardfaut"/>
    <w:uiPriority w:val="22"/>
    <w:qFormat/>
    <w:rsid w:val="00104A4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04A4D"/>
    <w:rPr>
      <w:color w:val="0000FF"/>
      <w:u w:val="single"/>
    </w:rPr>
  </w:style>
  <w:style w:type="character" w:customStyle="1" w:styleId="text04">
    <w:name w:val="text04"/>
    <w:basedOn w:val="Policepardfaut"/>
    <w:rsid w:val="0010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23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9"/>
          </w:divBdr>
        </w:div>
      </w:divsChild>
    </w:div>
    <w:div w:id="1359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gosante.com/wdb_lb.asp?args=DATA:oligosante$TABLE:ListeArticles$DOSSIER:oligosante$HTMR:avisetoile$Where:(chronoA=2157)$Lbo1:0" TargetMode="External"/><Relationship Id="rId13" Type="http://schemas.openxmlformats.org/officeDocument/2006/relationships/hyperlink" Target="http://www.oligosante.com/wdb_lb.asp?args=DATA:oligosante$TABLE:ListeArticles$DOSSIER:oligosante$HTMR:avisetoile$Where:(chronoA=2014)$Lbo1: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ligosante.com/wdb_lb.asp?args=DATA:oligosante$TABLE:ListeArticles$DOSSIER:oligosante$HTMR:avisetoile$Where:(chronoA=2133)$Lbo1:0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Connect-On</dc:creator>
  <cp:keywords/>
  <dc:description/>
  <cp:lastModifiedBy>Tech Connect-On</cp:lastModifiedBy>
  <cp:revision>1</cp:revision>
  <dcterms:created xsi:type="dcterms:W3CDTF">2018-05-03T12:16:00Z</dcterms:created>
  <dcterms:modified xsi:type="dcterms:W3CDTF">2018-05-03T12:25:00Z</dcterms:modified>
</cp:coreProperties>
</file>